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ДК 021: 2015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45440000-3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 Послуги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>м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>алярні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2-006094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100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uk-UA" w:eastAsia="zh-CN" w:bidi="ar-SA"/>
        </w:rPr>
        <w:t xml:space="preserve">Послуги малярні передбачають </w:t>
      </w: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en-US" w:eastAsia="zh-CN" w:bidi="ar-SA"/>
        </w:rPr>
        <w:t>фа</w:t>
      </w: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uk-UA" w:eastAsia="zh-CN" w:bidi="ar-SA"/>
        </w:rPr>
        <w:t>рбування металевих конструкцій та дерев’яних поверхонь елементів благоустрою: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56" w:type="dxa"/>
        <w:jc w:val="left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1134"/>
        <w:gridCol w:w="1977"/>
      </w:tblGrid>
      <w:tr>
        <w:trPr>
          <w:trHeight w:val="42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uk-UA"/>
              </w:rPr>
              <w:t>-т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 xml:space="preserve"> виміру</w:t>
            </w:r>
          </w:p>
        </w:tc>
      </w:tr>
      <w:tr>
        <w:trPr>
          <w:trHeight w:val="43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поверхонь 68 контейнерів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272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</w:t>
            </w:r>
          </w:p>
        </w:tc>
      </w:tr>
      <w:tr>
        <w:trPr>
          <w:trHeight w:val="37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40 урн для сміття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42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кв.м.</w:t>
            </w:r>
          </w:p>
        </w:tc>
      </w:tr>
      <w:tr>
        <w:trPr>
          <w:trHeight w:val="50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108 лав в парковій зоні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214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лав 45 автобусних зупинок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90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металевих поверхонь 45 автобусних зупинок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315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2"/>
                <w:szCs w:val="22"/>
                <w:lang w:val="uk-UA" w:eastAsia="zh-CN" w:bidi="fa-IR"/>
              </w:rPr>
              <w:t>Фарбування 118 металевих тротуарних стовпчиків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35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кв.м</w:t>
            </w:r>
          </w:p>
        </w:tc>
      </w:tr>
    </w:tbl>
    <w:p>
      <w:pPr>
        <w:pStyle w:val="Normal"/>
        <w:ind w:left="0" w:right="0" w:firstLine="567"/>
        <w:jc w:val="both"/>
        <w:rPr>
          <w:rFonts w:cs="Times New Roman"/>
          <w:b/>
          <w:b/>
          <w:sz w:val="22"/>
          <w:szCs w:val="22"/>
          <w:lang w:val="uk-UA" w:eastAsia="en-US"/>
        </w:rPr>
      </w:pPr>
      <w:r>
        <w:rPr>
          <w:rFonts w:cs="Times New Roman"/>
          <w:b/>
          <w:sz w:val="22"/>
          <w:szCs w:val="22"/>
          <w:lang w:val="uk-UA" w:eastAsia="en-US"/>
        </w:rPr>
      </w:r>
    </w:p>
    <w:p>
      <w:pPr>
        <w:pStyle w:val="Normal"/>
        <w:spacing w:lineRule="exact" w:line="227"/>
        <w:ind w:left="0" w:right="0" w:firstLine="567"/>
        <w:jc w:val="both"/>
        <w:rPr>
          <w:rFonts w:cs="Times New Roman"/>
          <w:b w:val="false"/>
          <w:b w:val="false"/>
          <w:bCs w:val="false"/>
          <w:sz w:val="24"/>
          <w:szCs w:val="24"/>
          <w:u w:val="single"/>
          <w:lang w:val="uk-UA" w:eastAsia="en-US"/>
        </w:rPr>
      </w:pPr>
      <w:r>
        <w:rPr>
          <w:rFonts w:cs="Times New Roman"/>
          <w:b w:val="false"/>
          <w:bCs w:val="false"/>
          <w:sz w:val="24"/>
          <w:szCs w:val="24"/>
          <w:u w:val="single"/>
          <w:lang w:val="uk-UA" w:eastAsia="en-US"/>
        </w:rPr>
        <w:t>При наданні малярних послуг Виконавець повинен:</w:t>
      </w:r>
    </w:p>
    <w:p>
      <w:pPr>
        <w:pStyle w:val="Normal"/>
        <w:spacing w:lineRule="exact" w:line="227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2"/>
          <w:szCs w:val="22"/>
          <w:lang w:val="uk-UA" w:eastAsia="en-US"/>
        </w:rPr>
        <w:t xml:space="preserve">-забезпечити покращення зовнішнього (естетичного) вигляду та захисту елементів благоустрою, які в ході експлуатації та взаємодії з навколишнім середовищем піддаються корозії, а також з метою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подовження терміну їх експлуатації;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-перед нанесенням матеріалів (фарби, олійні суміші) забезпечити попередню підготовку поверхні, в тому числі очищенню від існуючого покриття та утворень продуктів корозії;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-використовувати фарби, олійні суміші стійкі до впливу кліматичних умов;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-застосовувати заходи із захисту довкілля: 1) забезпечити унемовжливлення розсипання зібраного сміття в процесі надання послуг та його перевезення; 2) забезпечити унеможливлення забруднення грунтів паливно-мастильними матеріалами, які використовуються в процесі експлуатації машин та механізмів при наданні послуг.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Транспортне забезпечення в процесі надання малярних послуг здійснюється Виконавцем.</w:t>
      </w:r>
    </w:p>
    <w:p>
      <w:pPr>
        <w:pStyle w:val="Normal"/>
        <w:spacing w:lineRule="exact" w:line="227"/>
        <w:ind w:left="0" w:right="0" w:firstLine="567"/>
        <w:jc w:val="both"/>
        <w:rPr/>
      </w:pPr>
      <w:r>
        <w:rPr>
          <w:rFonts w:cs="Times New Roman"/>
          <w:sz w:val="22"/>
          <w:szCs w:val="22"/>
          <w:lang w:val="uk-UA"/>
        </w:rPr>
        <w:t xml:space="preserve">В процесі виконання зазначений обсяг  послуг може уточнюватися (коригуватися) Замовником у межах вартості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укладеного договору</w:t>
      </w:r>
      <w:r>
        <w:rPr>
          <w:rFonts w:cs="Times New Roman"/>
          <w:sz w:val="22"/>
          <w:szCs w:val="22"/>
          <w:lang w:val="uk-UA"/>
        </w:rPr>
        <w:t>.</w:t>
      </w:r>
    </w:p>
    <w:p>
      <w:pPr>
        <w:pStyle w:val="Normal"/>
        <w:spacing w:lineRule="exact" w:line="227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1"/>
        <w:spacing w:lineRule="exact" w:line="227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spacing w:lineRule="exact" w:line="227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exact" w:line="227"/>
        <w:ind w:left="34" w:right="113" w:firstLine="426"/>
        <w:jc w:val="both"/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widowControl w:val="false"/>
        <w:spacing w:lineRule="exact" w:line="227"/>
        <w:ind w:left="34" w:right="113" w:firstLine="426"/>
        <w:jc w:val="both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</w:rPr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 w:val="22"/>
          <w:szCs w:val="22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spacing w:lineRule="exact" w:line="227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  <w:t>Примітка:*</w:t>
      </w:r>
    </w:p>
    <w:p>
      <w:pPr>
        <w:pStyle w:val="Normal"/>
        <w:spacing w:lineRule="exact" w:line="22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Під елементами благоустрою слід розуміти відбійні бруси шляхопроводів, автобусні зупинки громадського транспорту, урни для сміття, контейнери, лавки, стовпці, елементи шляхопроводу тощо.</w:t>
      </w:r>
    </w:p>
    <w:p>
      <w:pPr>
        <w:pStyle w:val="Normal"/>
        <w:spacing w:lineRule="exact" w:line="227"/>
        <w:jc w:val="both"/>
        <w:rPr/>
      </w:pPr>
      <w:r>
        <w:rPr/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1</Pages>
  <Words>451</Words>
  <Characters>3208</Characters>
  <CharactersWithSpaces>3621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2023-07-13T15:46:02Z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